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</w:rPr>
        <w:drawing>
          <wp:inline distB="114300" distT="114300" distL="114300" distR="114300">
            <wp:extent cx="1490663" cy="1490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0663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34"/>
          <w:szCs w:val="34"/>
          <w:rtl w:val="0"/>
        </w:rPr>
        <w:t xml:space="preserve">Breakthrough Darkness Program: </w:t>
      </w:r>
    </w:p>
    <w:p w:rsidR="00000000" w:rsidDel="00000000" w:rsidP="00000000" w:rsidRDefault="00000000" w:rsidRPr="00000000" w14:paraId="00000003">
      <w:pPr>
        <w:jc w:val="center"/>
        <w:rPr>
          <w:rFonts w:ascii="Montserrat Medium" w:cs="Montserrat Medium" w:eastAsia="Montserrat Medium" w:hAnsi="Montserrat Medium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8"/>
          <w:szCs w:val="28"/>
          <w:rtl w:val="0"/>
        </w:rPr>
        <w:t xml:space="preserve">Discovery Phase – Unmasking the Problem</w:t>
      </w:r>
    </w:p>
    <w:p w:rsidR="00000000" w:rsidDel="00000000" w:rsidP="00000000" w:rsidRDefault="00000000" w:rsidRPr="00000000" w14:paraId="00000005">
      <w:pPr>
        <w:jc w:val="center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Montserrat Medium" w:cs="Montserrat Medium" w:eastAsia="Montserrat Medium" w:hAnsi="Montserrat Medium"/>
          <w:color w:val="66666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 Medium" w:cs="Montserrat Medium" w:eastAsia="Montserrat Medium" w:hAnsi="Montserrat Medium"/>
          <w:color w:val="666666"/>
          <w:sz w:val="26"/>
          <w:szCs w:val="26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1: Surface Awareness – Identifying Patterns &amp; Symptoms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</w:rPr>
      </w:pPr>
      <w:bookmarkStart w:colFirst="0" w:colLast="0" w:name="_d61g15h2n4uw" w:id="0"/>
      <w:bookmarkEnd w:id="0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2: Digging Beneath the Surface – Root Cause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6"/>
          <w:szCs w:val="26"/>
        </w:rPr>
      </w:pPr>
      <w:bookmarkStart w:colFirst="0" w:colLast="0" w:name="_hv7edkx8qdpj" w:id="1"/>
      <w:bookmarkEnd w:id="1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3: Challenging Limiting Beliefs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</w:rPr>
      </w:pPr>
      <w:bookmarkStart w:colFirst="0" w:colLast="0" w:name="_ghqj20stcth6" w:id="2"/>
      <w:bookmarkEnd w:id="2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4: Evaluating External Influences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rFonts w:ascii="Montserrat Medium" w:cs="Montserrat Medium" w:eastAsia="Montserrat Medium" w:hAnsi="Montserrat Medium"/>
          <w:color w:val="666666"/>
          <w:sz w:val="26"/>
          <w:szCs w:val="26"/>
        </w:rPr>
      </w:pPr>
      <w:bookmarkStart w:colFirst="0" w:colLast="0" w:name="_s1jql0mz5pa9" w:id="3"/>
      <w:bookmarkEnd w:id="3"/>
      <w:r w:rsidDel="00000000" w:rsidR="00000000" w:rsidRPr="00000000">
        <w:rPr>
          <w:rFonts w:ascii="Montserrat Medium" w:cs="Montserrat Medium" w:eastAsia="Montserrat Medium" w:hAnsi="Montserrat Medium"/>
          <w:color w:val="666666"/>
          <w:sz w:val="26"/>
          <w:szCs w:val="26"/>
          <w:rtl w:val="0"/>
        </w:rPr>
        <w:t xml:space="preserve">Step 5: Defining the Core Breakthrough Point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Montserrat Medium" w:cs="Montserrat Medium" w:eastAsia="Montserrat Medium" w:hAnsi="Montserrat Medium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ontserrat Medium" w:cs="Montserrat Medium" w:eastAsia="Montserrat Medium" w:hAnsi="Montserrat Medium"/>
          <w:color w:val="666666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These steps make the 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Discovery Phase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 an intentional journey from 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surface-level awareness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 to 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deep understanding and empowerment</w:t>
      </w:r>
      <w:r w:rsidDel="00000000" w:rsidR="00000000" w:rsidRPr="00000000">
        <w:rPr>
          <w:rFonts w:ascii="Montserrat Medium" w:cs="Montserrat Medium" w:eastAsia="Montserrat Medium" w:hAnsi="Montserrat Medium"/>
          <w:color w:val="666666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