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</w:rPr>
        <w:drawing>
          <wp:inline distB="114300" distT="114300" distL="114300" distR="114300">
            <wp:extent cx="1490663" cy="1490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  <w:rtl w:val="0"/>
        </w:rPr>
        <w:t xml:space="preserve">Breakthrough Darkness Program: </w:t>
      </w:r>
    </w:p>
    <w:p w:rsidR="00000000" w:rsidDel="00000000" w:rsidP="00000000" w:rsidRDefault="00000000" w:rsidRPr="00000000" w14:paraId="00000003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4"/>
          <w:szCs w:val="24"/>
          <w:rtl w:val="0"/>
        </w:rPr>
        <w:t xml:space="preserve">Step 3: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4"/>
          <w:szCs w:val="24"/>
          <w:rtl w:val="0"/>
        </w:rPr>
        <w:t xml:space="preserve"> The Turning Point – Pivoting Toward Faith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ea9999"/>
          <w:sz w:val="54"/>
          <w:szCs w:val="5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ea9999"/>
          <w:sz w:val="54"/>
          <w:szCs w:val="54"/>
          <w:rtl w:val="0"/>
        </w:rPr>
        <w:t xml:space="preserve">Steps coming soon….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